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F41D" w14:textId="3E678EEA" w:rsidR="008A6A7B" w:rsidRPr="008A6A7B" w:rsidRDefault="008A6A7B" w:rsidP="0039478A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Titr"/>
          <w:b/>
          <w:bCs/>
          <w:sz w:val="36"/>
          <w:szCs w:val="36"/>
        </w:rPr>
      </w:pPr>
      <w:r w:rsidRPr="008A6A7B">
        <w:rPr>
          <w:rFonts w:ascii="Times New Roman" w:eastAsia="Times New Roman" w:hAnsi="Times New Roman" w:cs="B Titr"/>
          <w:b/>
          <w:bCs/>
          <w:sz w:val="36"/>
          <w:szCs w:val="36"/>
          <w:rtl/>
        </w:rPr>
        <w:t>اولویت های پژوهشی مرتبط با بیماریهای</w:t>
      </w:r>
      <w:r w:rsidR="0039478A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غیر واگیر </w:t>
      </w:r>
      <w:r w:rsidRPr="008A6A7B">
        <w:rPr>
          <w:rFonts w:ascii="Times New Roman" w:eastAsia="Times New Roman" w:hAnsi="Times New Roman" w:cs="B Titr"/>
          <w:b/>
          <w:bCs/>
          <w:sz w:val="36"/>
          <w:szCs w:val="36"/>
          <w:rtl/>
        </w:rPr>
        <w:t xml:space="preserve"> </w:t>
      </w:r>
      <w:r w:rsidR="0039478A">
        <w:rPr>
          <w:rFonts w:ascii="Times New Roman" w:eastAsia="Times New Roman" w:hAnsi="Times New Roman" w:cs="B Titr" w:hint="cs"/>
          <w:b/>
          <w:bCs/>
          <w:sz w:val="36"/>
          <w:szCs w:val="36"/>
          <w:rtl/>
        </w:rPr>
        <w:t xml:space="preserve"> </w:t>
      </w:r>
    </w:p>
    <w:tbl>
      <w:tblPr>
        <w:bidiVisual/>
        <w:tblW w:w="86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7290"/>
      </w:tblGrid>
      <w:tr w:rsidR="008A6A7B" w:rsidRPr="008A6A7B" w14:paraId="02EBC791" w14:textId="77777777" w:rsidTr="008A6A7B">
        <w:trPr>
          <w:jc w:val="center"/>
        </w:trPr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D57A" w14:textId="77777777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رتبه اولویت</w:t>
            </w:r>
          </w:p>
        </w:tc>
        <w:tc>
          <w:tcPr>
            <w:tcW w:w="72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D741A" w14:textId="77777777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Titr" w:hint="cs"/>
                <w:sz w:val="24"/>
                <w:szCs w:val="24"/>
                <w:rtl/>
              </w:rPr>
              <w:t>عناوین اولویت های پژوهشی</w:t>
            </w:r>
          </w:p>
        </w:tc>
      </w:tr>
      <w:tr w:rsidR="008A6A7B" w:rsidRPr="008A6A7B" w14:paraId="3FF66E10" w14:textId="77777777" w:rsidTr="008A6A7B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DAA5" w14:textId="2742EA03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۱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8E002" w14:textId="4D1832C1" w:rsidR="008A6A7B" w:rsidRPr="008A6A7B" w:rsidRDefault="008A6A7B" w:rsidP="008A6A7B">
            <w:pPr>
              <w:bidi/>
              <w:spacing w:after="200" w:line="36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rtl/>
              </w:rPr>
              <w:t> </w:t>
            </w: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اپیدمیولوژی ، پیشگیری، درمان و بازتوانی بیماری</w:t>
            </w: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 xml:space="preserve">های قلبی - عروقی ( پرفشاری خون، سکته قلبی، سکته مغزی </w:t>
            </w:r>
            <w:r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8A6A7B" w:rsidRPr="008A6A7B" w14:paraId="2E27B247" w14:textId="77777777" w:rsidTr="008A6A7B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44A3" w14:textId="77777777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FF79" w14:textId="77777777" w:rsidR="008A6A7B" w:rsidRPr="008A6A7B" w:rsidRDefault="008A6A7B" w:rsidP="008A6A7B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اپیدمیولوژی، پیشگیری، شناسایی زودهنگام، درمان و بازتوانی دیابت</w:t>
            </w:r>
          </w:p>
        </w:tc>
      </w:tr>
      <w:tr w:rsidR="008A6A7B" w:rsidRPr="008A6A7B" w14:paraId="6AEE9431" w14:textId="77777777" w:rsidTr="0039478A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283B" w14:textId="7FF88836" w:rsidR="008A6A7B" w:rsidRPr="008A6A7B" w:rsidRDefault="0039478A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427D" w14:textId="46EE2F56" w:rsidR="008A6A7B" w:rsidRPr="008A6A7B" w:rsidRDefault="0039478A" w:rsidP="008A6A7B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Style w:val="Strong"/>
                <w:rFonts w:cs="B Mitra" w:hint="cs"/>
                <w:rtl/>
              </w:rPr>
              <w:t>شیوع، عوامل مؤثر و راهکارهای کنترل دیابت در منطقه</w:t>
            </w:r>
          </w:p>
        </w:tc>
      </w:tr>
      <w:tr w:rsidR="008A6A7B" w:rsidRPr="008A6A7B" w14:paraId="382CB53C" w14:textId="77777777" w:rsidTr="0039478A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1363" w14:textId="7C8E7DA5" w:rsidR="008A6A7B" w:rsidRPr="008A6A7B" w:rsidRDefault="0039478A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92E8" w14:textId="3E237D6A" w:rsidR="008A6A7B" w:rsidRPr="008A6A7B" w:rsidRDefault="0039478A" w:rsidP="008A6A7B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Style w:val="Strong"/>
                <w:rFonts w:cs="B Mitra" w:hint="cs"/>
                <w:rtl/>
              </w:rPr>
              <w:t>عوارض پس از بی</w:t>
            </w:r>
            <w:r>
              <w:rPr>
                <w:rStyle w:val="Strong"/>
                <w:rFonts w:cs="B Mitra" w:hint="cs"/>
                <w:rtl/>
              </w:rPr>
              <w:softHyphen/>
              <w:t>حسی نخاعی</w:t>
            </w:r>
          </w:p>
        </w:tc>
      </w:tr>
      <w:tr w:rsidR="008A6A7B" w:rsidRPr="008A6A7B" w14:paraId="75A96378" w14:textId="77777777" w:rsidTr="0039478A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8874" w14:textId="017710DE" w:rsidR="008A6A7B" w:rsidRPr="008A6A7B" w:rsidRDefault="0039478A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92D2" w14:textId="6A920C8E" w:rsidR="008A6A7B" w:rsidRPr="008A6A7B" w:rsidRDefault="0039478A" w:rsidP="008A6A7B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Style w:val="Strong"/>
                <w:rFonts w:cs="B Mitra" w:hint="cs"/>
                <w:rtl/>
              </w:rPr>
              <w:t>اپیدمیولوژی، روش های تشخیصی و درمانی مراقبتی در اختلالات چشمی</w:t>
            </w:r>
          </w:p>
        </w:tc>
      </w:tr>
      <w:tr w:rsidR="008A6A7B" w:rsidRPr="008A6A7B" w14:paraId="30DF8431" w14:textId="77777777" w:rsidTr="008A6A7B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E2FC" w14:textId="77777777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۶</w:t>
            </w:r>
            <w:bookmarkStart w:id="0" w:name="_GoBack"/>
            <w:bookmarkEnd w:id="0"/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5C911" w14:textId="77777777" w:rsidR="008A6A7B" w:rsidRPr="008A6A7B" w:rsidRDefault="008A6A7B" w:rsidP="008A6A7B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بررسی علل آندوفتالمیت دربیماران بعد از عمل کاتاراکت</w:t>
            </w:r>
          </w:p>
        </w:tc>
      </w:tr>
      <w:tr w:rsidR="008A6A7B" w:rsidRPr="008A6A7B" w14:paraId="0E9AB6D0" w14:textId="77777777" w:rsidTr="008A6A7B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1EAD" w14:textId="77777777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88247" w14:textId="77777777" w:rsidR="008A6A7B" w:rsidRPr="008A6A7B" w:rsidRDefault="008A6A7B" w:rsidP="008A6A7B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اپیدمیولوژی بیماری</w:t>
            </w: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>های شایع پوستی</w:t>
            </w:r>
          </w:p>
        </w:tc>
      </w:tr>
      <w:tr w:rsidR="008A6A7B" w:rsidRPr="008A6A7B" w14:paraId="4CE7EF89" w14:textId="77777777" w:rsidTr="008A6A7B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F4F2" w14:textId="77777777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۸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8C845" w14:textId="77777777" w:rsidR="008A6A7B" w:rsidRPr="008A6A7B" w:rsidRDefault="008A6A7B" w:rsidP="008A6A7B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تشخیص و درمان نوین بیماری</w:t>
            </w: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>های مغز و اعصاب</w:t>
            </w:r>
          </w:p>
        </w:tc>
      </w:tr>
      <w:tr w:rsidR="008A6A7B" w:rsidRPr="008A6A7B" w14:paraId="71AEBF41" w14:textId="77777777" w:rsidTr="008A6A7B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26F8" w14:textId="77777777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CEDE1" w14:textId="77777777" w:rsidR="008A6A7B" w:rsidRPr="008A6A7B" w:rsidRDefault="008A6A7B" w:rsidP="008A6A7B">
            <w:pPr>
              <w:bidi/>
              <w:spacing w:after="20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اپیدمیولوژی و کنترل بیماری</w:t>
            </w: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>های نقص ایمنی و اتوایمیون</w:t>
            </w:r>
          </w:p>
        </w:tc>
      </w:tr>
      <w:tr w:rsidR="008A6A7B" w:rsidRPr="008A6A7B" w14:paraId="1A226833" w14:textId="77777777" w:rsidTr="008A6A7B">
        <w:trPr>
          <w:jc w:val="center"/>
        </w:trPr>
        <w:tc>
          <w:tcPr>
            <w:tcW w:w="140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1DBE" w14:textId="77777777" w:rsidR="008A6A7B" w:rsidRPr="008A6A7B" w:rsidRDefault="008A6A7B" w:rsidP="008A6A7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729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DE90D" w14:textId="77777777" w:rsidR="008A6A7B" w:rsidRPr="008A6A7B" w:rsidRDefault="008A6A7B" w:rsidP="008A6A7B">
            <w:pPr>
              <w:bidi/>
              <w:spacing w:line="360" w:lineRule="auto"/>
              <w:ind w:left="6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t>اپیدمیولوژی و تشخیص بیماری</w:t>
            </w:r>
            <w:r w:rsidRPr="008A6A7B">
              <w:rPr>
                <w:rFonts w:ascii="Times New Roman" w:eastAsia="Times New Roman" w:hAnsi="Times New Roman" w:cs="B Mitra" w:hint="cs"/>
                <w:b/>
                <w:bCs/>
                <w:sz w:val="24"/>
                <w:szCs w:val="24"/>
                <w:rtl/>
              </w:rPr>
              <w:softHyphen/>
              <w:t>های ژنتیکی و ارثی و راه های پیشگیری از آن</w:t>
            </w:r>
          </w:p>
        </w:tc>
      </w:tr>
    </w:tbl>
    <w:p w14:paraId="35042327" w14:textId="77777777" w:rsidR="003326C5" w:rsidRDefault="003326C5"/>
    <w:sectPr w:rsidR="00332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7B"/>
    <w:rsid w:val="003326C5"/>
    <w:rsid w:val="0039478A"/>
    <w:rsid w:val="008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2A78"/>
  <w15:chartTrackingRefBased/>
  <w15:docId w15:val="{06F4D7D0-0524-4047-90E1-037535DC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4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2019-11-16T06:27:00Z</dcterms:created>
  <dcterms:modified xsi:type="dcterms:W3CDTF">2019-11-16T06:35:00Z</dcterms:modified>
</cp:coreProperties>
</file>